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C586B">
      <w:pPr>
        <w:snapToGrid w:val="0"/>
        <w:spacing w:before="120" w:line="400" w:lineRule="exact"/>
        <w:jc w:val="left"/>
        <w:outlineLvl w:val="0"/>
        <w:rPr>
          <w:rFonts w:hint="eastAsia" w:hAnsi="黑体" w:eastAsia="黑体"/>
          <w:kern w:val="0"/>
          <w:sz w:val="22"/>
          <w:szCs w:val="22"/>
        </w:rPr>
      </w:pPr>
      <w:bookmarkStart w:id="2" w:name="_GoBack"/>
      <w:r>
        <w:rPr>
          <w:rFonts w:ascii="黑体" w:hAnsi="黑体" w:eastAsia="黑体"/>
          <w:b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3660140</wp:posOffset>
            </wp:positionH>
            <wp:positionV relativeFrom="paragraph">
              <wp:posOffset>81280</wp:posOffset>
            </wp:positionV>
            <wp:extent cx="1231900" cy="1671955"/>
            <wp:effectExtent l="0" t="0" r="6350" b="5080"/>
            <wp:wrapNone/>
            <wp:docPr id="7167283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728368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9" t="13968" r="13423" b="15051"/>
                    <a:stretch>
                      <a:fillRect/>
                    </a:stretch>
                  </pic:blipFill>
                  <pic:spPr>
                    <a:xfrm>
                      <a:off x="0" y="0"/>
                      <a:ext cx="1231967" cy="167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  <w:r>
        <w:rPr>
          <w:rFonts w:hAnsi="黑体" w:eastAsia="黑体"/>
          <w:kern w:val="0"/>
          <w:sz w:val="22"/>
          <w:szCs w:val="22"/>
        </w:rPr>
        <w:t>王培强</w:t>
      </w:r>
      <w:r>
        <w:rPr>
          <w:rFonts w:hint="eastAsia" w:eastAsia="黑体"/>
          <w:kern w:val="0"/>
          <w:sz w:val="22"/>
          <w:szCs w:val="22"/>
        </w:rPr>
        <w:t xml:space="preserve"> </w:t>
      </w:r>
      <w:r>
        <w:rPr>
          <w:rFonts w:hAnsi="黑体" w:eastAsia="黑体"/>
          <w:kern w:val="0"/>
          <w:sz w:val="22"/>
          <w:szCs w:val="22"/>
        </w:rPr>
        <w:t>副教授</w:t>
      </w:r>
    </w:p>
    <w:p w14:paraId="51A62A7C">
      <w:pPr>
        <w:snapToGrid w:val="0"/>
        <w:spacing w:before="120" w:line="400" w:lineRule="exact"/>
        <w:jc w:val="left"/>
        <w:outlineLvl w:val="0"/>
        <w:rPr>
          <w:rFonts w:hint="eastAsia" w:hAnsi="黑体" w:eastAsia="黑体"/>
          <w:kern w:val="0"/>
          <w:sz w:val="22"/>
          <w:szCs w:val="22"/>
        </w:rPr>
      </w:pPr>
      <w:r>
        <w:rPr>
          <w:rFonts w:hint="eastAsia" w:hAnsi="黑体" w:eastAsia="黑体"/>
          <w:kern w:val="0"/>
          <w:sz w:val="22"/>
          <w:szCs w:val="22"/>
        </w:rPr>
        <w:t>茶学学科负责人</w:t>
      </w:r>
    </w:p>
    <w:p w14:paraId="6C1D6590">
      <w:pPr>
        <w:snapToGrid w:val="0"/>
        <w:spacing w:before="120" w:line="400" w:lineRule="exact"/>
        <w:jc w:val="left"/>
        <w:outlineLvl w:val="0"/>
        <w:rPr>
          <w:rFonts w:hint="eastAsia" w:hAnsi="黑体" w:eastAsia="黑体"/>
          <w:kern w:val="0"/>
          <w:sz w:val="22"/>
          <w:szCs w:val="22"/>
        </w:rPr>
      </w:pPr>
      <w:r>
        <w:rPr>
          <w:rFonts w:hint="eastAsia" w:hAnsi="黑体" w:eastAsia="黑体"/>
          <w:kern w:val="0"/>
          <w:sz w:val="22"/>
          <w:szCs w:val="22"/>
        </w:rPr>
        <w:t>硕士、博士</w:t>
      </w:r>
      <w:r>
        <w:rPr>
          <w:rFonts w:hAnsi="黑体" w:eastAsia="黑体"/>
          <w:kern w:val="0"/>
          <w:sz w:val="22"/>
          <w:szCs w:val="22"/>
        </w:rPr>
        <w:t>生导师</w:t>
      </w:r>
    </w:p>
    <w:p w14:paraId="556C8F2A">
      <w:pPr>
        <w:snapToGrid w:val="0"/>
        <w:spacing w:before="120" w:line="400" w:lineRule="exact"/>
        <w:jc w:val="left"/>
        <w:outlineLvl w:val="0"/>
        <w:rPr>
          <w:rFonts w:eastAsia="黑体"/>
          <w:sz w:val="22"/>
          <w:szCs w:val="22"/>
        </w:rPr>
      </w:pPr>
      <w:r>
        <w:rPr>
          <w:rFonts w:hint="eastAsia" w:hAnsi="黑体" w:eastAsia="黑体"/>
          <w:kern w:val="0"/>
          <w:sz w:val="22"/>
          <w:szCs w:val="22"/>
        </w:rPr>
        <w:t>籍贯：山东 东营</w:t>
      </w:r>
    </w:p>
    <w:p w14:paraId="3ECE479D">
      <w:pPr>
        <w:snapToGrid w:val="0"/>
        <w:spacing w:before="120" w:line="400" w:lineRule="exact"/>
        <w:jc w:val="left"/>
        <w:outlineLvl w:val="0"/>
        <w:rPr>
          <w:rFonts w:eastAsia="黑体"/>
          <w:kern w:val="0"/>
          <w:sz w:val="22"/>
          <w:szCs w:val="22"/>
        </w:rPr>
      </w:pPr>
      <w:r>
        <w:rPr>
          <w:rFonts w:hAnsi="黑体" w:eastAsia="黑体"/>
          <w:kern w:val="0"/>
          <w:sz w:val="22"/>
          <w:szCs w:val="22"/>
        </w:rPr>
        <w:t>邮箱：</w:t>
      </w:r>
      <w:r>
        <w:rPr>
          <w:rFonts w:eastAsia="黑体"/>
          <w:kern w:val="0"/>
          <w:sz w:val="22"/>
          <w:szCs w:val="22"/>
        </w:rPr>
        <w:fldChar w:fldCharType="begin"/>
      </w:r>
      <w:r>
        <w:rPr>
          <w:rFonts w:eastAsia="黑体"/>
          <w:kern w:val="0"/>
          <w:sz w:val="22"/>
          <w:szCs w:val="22"/>
        </w:rPr>
        <w:instrText xml:space="preserve">HYPERLINK "mailto:wpqtea@163.com"</w:instrText>
      </w:r>
      <w:r>
        <w:rPr>
          <w:rFonts w:eastAsia="黑体"/>
          <w:kern w:val="0"/>
          <w:sz w:val="22"/>
          <w:szCs w:val="22"/>
        </w:rPr>
        <w:fldChar w:fldCharType="separate"/>
      </w:r>
      <w:r>
        <w:rPr>
          <w:rStyle w:val="8"/>
          <w:rFonts w:eastAsia="黑体"/>
          <w:kern w:val="0"/>
          <w:sz w:val="22"/>
          <w:szCs w:val="22"/>
        </w:rPr>
        <w:t>wpqtea@163.com</w:t>
      </w:r>
      <w:r>
        <w:rPr>
          <w:rFonts w:eastAsia="黑体"/>
          <w:kern w:val="0"/>
          <w:sz w:val="22"/>
          <w:szCs w:val="22"/>
        </w:rPr>
        <w:fldChar w:fldCharType="end"/>
      </w:r>
    </w:p>
    <w:p w14:paraId="72208FF5">
      <w:pPr>
        <w:snapToGrid w:val="0"/>
        <w:spacing w:before="120" w:line="400" w:lineRule="exact"/>
        <w:jc w:val="left"/>
        <w:outlineLvl w:val="0"/>
        <w:rPr>
          <w:rFonts w:hint="eastAsia" w:hAnsi="黑体" w:eastAsia="黑体"/>
          <w:kern w:val="0"/>
          <w:sz w:val="22"/>
          <w:szCs w:val="22"/>
        </w:rPr>
      </w:pPr>
      <w:r>
        <w:rPr>
          <w:rFonts w:hint="eastAsia" w:hAnsi="黑体" w:eastAsia="黑体"/>
          <w:kern w:val="0"/>
          <w:sz w:val="22"/>
          <w:szCs w:val="22"/>
        </w:rPr>
        <w:t>个人基本情况：</w:t>
      </w:r>
    </w:p>
    <w:p w14:paraId="5221DE37">
      <w:pPr>
        <w:snapToGrid w:val="0"/>
        <w:spacing w:before="120" w:line="360" w:lineRule="exact"/>
        <w:ind w:firstLine="440" w:firstLineChars="200"/>
        <w:rPr>
          <w:rFonts w:eastAsia="楷体"/>
          <w:kern w:val="0"/>
          <w:sz w:val="22"/>
          <w:szCs w:val="22"/>
        </w:rPr>
      </w:pPr>
      <w:r>
        <w:rPr>
          <w:rFonts w:hint="eastAsia" w:eastAsia="楷体"/>
          <w:kern w:val="0"/>
          <w:sz w:val="22"/>
          <w:szCs w:val="22"/>
        </w:rPr>
        <w:t>山东省高等学校青年创新团队带头人，</w:t>
      </w:r>
      <w:r>
        <w:rPr>
          <w:rFonts w:eastAsia="楷体"/>
          <w:kern w:val="0"/>
          <w:sz w:val="22"/>
          <w:szCs w:val="22"/>
        </w:rPr>
        <w:t>山东省科技特派员，</w:t>
      </w:r>
      <w:r>
        <w:rPr>
          <w:rFonts w:hint="eastAsia" w:eastAsia="楷体"/>
          <w:kern w:val="0"/>
          <w:sz w:val="22"/>
          <w:szCs w:val="22"/>
        </w:rPr>
        <w:t>青岛农业大学第三批优秀人才特支计划“骨干人才”。长期致力于茶树多酚类物质代谢与茶树逆境生物学领域的研究，先后主持国家自然科学基金面上项目、青年基金项目，</w:t>
      </w:r>
      <w:r>
        <w:rPr>
          <w:rFonts w:eastAsia="楷体"/>
          <w:kern w:val="0"/>
          <w:sz w:val="22"/>
          <w:szCs w:val="22"/>
        </w:rPr>
        <w:t>山东省高校</w:t>
      </w:r>
      <w:r>
        <w:rPr>
          <w:rFonts w:ascii="楷体" w:hAnsi="楷体" w:eastAsia="楷体"/>
          <w:kern w:val="0"/>
          <w:sz w:val="22"/>
          <w:szCs w:val="22"/>
        </w:rPr>
        <w:t>“青创科技支持计划”</w:t>
      </w:r>
      <w:r>
        <w:rPr>
          <w:rFonts w:eastAsia="楷体"/>
          <w:kern w:val="0"/>
          <w:sz w:val="22"/>
          <w:szCs w:val="22"/>
        </w:rPr>
        <w:t>项目</w:t>
      </w:r>
      <w:r>
        <w:rPr>
          <w:rFonts w:hint="eastAsia" w:eastAsia="楷体"/>
          <w:kern w:val="0"/>
          <w:sz w:val="22"/>
          <w:szCs w:val="22"/>
        </w:rPr>
        <w:t>、</w:t>
      </w:r>
      <w:r>
        <w:rPr>
          <w:rFonts w:eastAsia="楷体"/>
          <w:kern w:val="0"/>
          <w:sz w:val="22"/>
          <w:szCs w:val="22"/>
        </w:rPr>
        <w:t>山东省自然科学基金面上项目</w:t>
      </w:r>
      <w:r>
        <w:rPr>
          <w:rFonts w:hint="eastAsia" w:eastAsia="楷体"/>
          <w:kern w:val="0"/>
          <w:sz w:val="22"/>
          <w:szCs w:val="22"/>
        </w:rPr>
        <w:t>、</w:t>
      </w:r>
      <w:r>
        <w:rPr>
          <w:rFonts w:eastAsia="楷体"/>
          <w:kern w:val="0"/>
          <w:sz w:val="22"/>
          <w:szCs w:val="22"/>
        </w:rPr>
        <w:t>青岛市自然科学基金原创探索项目</w:t>
      </w:r>
      <w:r>
        <w:rPr>
          <w:rFonts w:hint="eastAsia" w:eastAsia="楷体"/>
          <w:kern w:val="0"/>
          <w:sz w:val="22"/>
          <w:szCs w:val="22"/>
        </w:rPr>
        <w:t>等。以第一作者或通讯作者身份在Plant journal、</w:t>
      </w:r>
      <w:r>
        <w:rPr>
          <w:rFonts w:eastAsia="楷体"/>
          <w:kern w:val="0"/>
          <w:sz w:val="22"/>
          <w:szCs w:val="22"/>
        </w:rPr>
        <w:t>Horticulture Research</w:t>
      </w:r>
      <w:r>
        <w:rPr>
          <w:rFonts w:hint="eastAsia" w:eastAsia="楷体"/>
          <w:kern w:val="0"/>
          <w:sz w:val="22"/>
          <w:szCs w:val="22"/>
        </w:rPr>
        <w:t>、Journal of Agricultural and Food Chemistry等期刊发表SCI论文多篇。获山东省科技进步三等奖（第四位）和山东省高等学校科学技术三等奖（第三位）各1项。</w:t>
      </w:r>
      <w:r>
        <w:rPr>
          <w:rFonts w:eastAsia="楷体"/>
          <w:kern w:val="0"/>
          <w:sz w:val="22"/>
          <w:szCs w:val="22"/>
        </w:rPr>
        <w:t>山东省优秀硕士学位论文指导教师，</w:t>
      </w:r>
      <w:r>
        <w:rPr>
          <w:rFonts w:hint="eastAsia" w:eastAsia="楷体"/>
          <w:kern w:val="0"/>
          <w:sz w:val="22"/>
          <w:szCs w:val="22"/>
        </w:rPr>
        <w:t>青岛农业大学</w:t>
      </w:r>
      <w:r>
        <w:rPr>
          <w:rFonts w:eastAsia="楷体"/>
          <w:kern w:val="0"/>
          <w:sz w:val="22"/>
          <w:szCs w:val="22"/>
        </w:rPr>
        <w:t>优秀学士学位论文指导教师，</w:t>
      </w:r>
      <w:r>
        <w:rPr>
          <w:rFonts w:hint="eastAsia" w:eastAsia="楷体"/>
          <w:kern w:val="0"/>
          <w:sz w:val="22"/>
          <w:szCs w:val="22"/>
        </w:rPr>
        <w:t>获第八届</w:t>
      </w:r>
      <w:r>
        <w:rPr>
          <w:rFonts w:eastAsia="楷体"/>
          <w:kern w:val="0"/>
          <w:sz w:val="22"/>
          <w:szCs w:val="22"/>
        </w:rPr>
        <w:t>“全国茶学专业中青年教师教学能力大赛”</w:t>
      </w:r>
      <w:r>
        <w:rPr>
          <w:rFonts w:hint="eastAsia" w:eastAsia="楷体"/>
          <w:kern w:val="0"/>
          <w:sz w:val="22"/>
          <w:szCs w:val="22"/>
        </w:rPr>
        <w:t>三</w:t>
      </w:r>
      <w:r>
        <w:rPr>
          <w:rFonts w:eastAsia="楷体"/>
          <w:kern w:val="0"/>
          <w:sz w:val="22"/>
          <w:szCs w:val="22"/>
        </w:rPr>
        <w:t>等奖</w:t>
      </w:r>
      <w:r>
        <w:rPr>
          <w:rFonts w:hint="eastAsia" w:eastAsia="楷体"/>
          <w:kern w:val="0"/>
          <w:sz w:val="22"/>
          <w:szCs w:val="22"/>
        </w:rPr>
        <w:t>。</w:t>
      </w:r>
    </w:p>
    <w:p w14:paraId="12ACD215">
      <w:pPr>
        <w:snapToGrid w:val="0"/>
        <w:spacing w:before="240" w:line="276" w:lineRule="auto"/>
        <w:jc w:val="left"/>
        <w:rPr>
          <w:rFonts w:hint="eastAsia" w:ascii="黑体" w:hAnsi="黑体" w:eastAsia="黑体"/>
          <w:bCs/>
          <w:kern w:val="0"/>
          <w:sz w:val="22"/>
          <w:szCs w:val="20"/>
        </w:rPr>
      </w:pPr>
      <w:r>
        <w:rPr>
          <w:rFonts w:ascii="黑体" w:hAnsi="黑体" w:eastAsia="黑体"/>
          <w:bCs/>
          <w:kern w:val="0"/>
          <w:sz w:val="22"/>
          <w:szCs w:val="20"/>
        </w:rPr>
        <w:t>教育经历：</w:t>
      </w:r>
    </w:p>
    <w:p w14:paraId="0B041B8A">
      <w:pPr>
        <w:snapToGrid w:val="0"/>
        <w:spacing w:line="360" w:lineRule="exact"/>
        <w:ind w:firstLine="440" w:firstLineChars="200"/>
        <w:rPr>
          <w:rFonts w:eastAsia="楷体"/>
          <w:kern w:val="0"/>
          <w:sz w:val="22"/>
          <w:szCs w:val="22"/>
        </w:rPr>
      </w:pPr>
      <w:r>
        <w:rPr>
          <w:rFonts w:eastAsia="楷体"/>
          <w:kern w:val="0"/>
          <w:sz w:val="22"/>
          <w:szCs w:val="22"/>
        </w:rPr>
        <w:t>2013/09–2018/06，安徽农业大学，茶树生物学与资源利用国家重点实验　　室，茶学专业，硕博连读，获博士学位。</w:t>
      </w:r>
    </w:p>
    <w:p w14:paraId="37A1418B">
      <w:pPr>
        <w:snapToGrid w:val="0"/>
        <w:spacing w:line="360" w:lineRule="exact"/>
        <w:ind w:firstLine="440" w:firstLineChars="200"/>
        <w:rPr>
          <w:rFonts w:eastAsia="楷体"/>
          <w:kern w:val="0"/>
          <w:sz w:val="22"/>
          <w:szCs w:val="22"/>
        </w:rPr>
      </w:pPr>
      <w:r>
        <w:rPr>
          <w:rFonts w:eastAsia="楷体"/>
          <w:kern w:val="0"/>
          <w:sz w:val="22"/>
          <w:szCs w:val="22"/>
        </w:rPr>
        <w:t>2009/09–2013/06，青岛农业大学，茶学专业，获学士学位。</w:t>
      </w:r>
    </w:p>
    <w:p w14:paraId="53C1F296">
      <w:pPr>
        <w:snapToGrid w:val="0"/>
        <w:spacing w:before="120" w:line="360" w:lineRule="auto"/>
        <w:jc w:val="left"/>
        <w:rPr>
          <w:rFonts w:hint="eastAsia" w:ascii="黑体" w:hAnsi="黑体" w:eastAsia="黑体"/>
          <w:bCs/>
          <w:kern w:val="0"/>
          <w:sz w:val="22"/>
          <w:szCs w:val="20"/>
        </w:rPr>
      </w:pPr>
      <w:r>
        <w:rPr>
          <w:rFonts w:hint="eastAsia" w:ascii="黑体" w:hAnsi="黑体" w:eastAsia="黑体"/>
          <w:bCs/>
          <w:kern w:val="0"/>
          <w:sz w:val="22"/>
          <w:szCs w:val="20"/>
        </w:rPr>
        <w:t>研究方向：</w:t>
      </w:r>
    </w:p>
    <w:p w14:paraId="5DB3421C">
      <w:pPr>
        <w:snapToGrid w:val="0"/>
        <w:spacing w:line="400" w:lineRule="exact"/>
        <w:ind w:firstLine="440" w:firstLineChars="200"/>
        <w:jc w:val="left"/>
        <w:rPr>
          <w:rFonts w:eastAsia="楷体"/>
          <w:kern w:val="0"/>
          <w:sz w:val="22"/>
          <w:szCs w:val="22"/>
        </w:rPr>
      </w:pPr>
      <w:r>
        <w:rPr>
          <w:rFonts w:hint="eastAsia" w:eastAsia="楷体"/>
          <w:kern w:val="0"/>
          <w:sz w:val="22"/>
          <w:szCs w:val="22"/>
        </w:rPr>
        <w:t>茶树次级代谢与品质化学，长期致力于茶树多酚类物质代谢方面的研究，同时也开展茶树逆境生物学相关工作。</w:t>
      </w:r>
    </w:p>
    <w:p w14:paraId="52B8A97B">
      <w:pPr>
        <w:snapToGrid w:val="0"/>
        <w:spacing w:before="120" w:line="360" w:lineRule="auto"/>
        <w:jc w:val="left"/>
        <w:rPr>
          <w:rFonts w:hint="eastAsia" w:ascii="黑体" w:hAnsi="黑体" w:eastAsia="黑体"/>
          <w:bCs/>
          <w:kern w:val="0"/>
          <w:sz w:val="22"/>
          <w:szCs w:val="20"/>
        </w:rPr>
      </w:pPr>
      <w:r>
        <w:rPr>
          <w:rFonts w:hint="eastAsia" w:ascii="黑体" w:hAnsi="黑体" w:eastAsia="黑体"/>
          <w:bCs/>
          <w:kern w:val="0"/>
          <w:sz w:val="22"/>
          <w:szCs w:val="20"/>
        </w:rPr>
        <w:t>主讲课程：</w:t>
      </w:r>
    </w:p>
    <w:p w14:paraId="20B25246">
      <w:pPr>
        <w:snapToGrid w:val="0"/>
        <w:spacing w:line="276" w:lineRule="auto"/>
        <w:jc w:val="left"/>
        <w:rPr>
          <w:rFonts w:hint="eastAsia" w:ascii="楷体" w:hAnsi="楷体" w:eastAsia="楷体"/>
          <w:bCs/>
          <w:kern w:val="0"/>
          <w:sz w:val="22"/>
          <w:szCs w:val="20"/>
        </w:rPr>
      </w:pPr>
      <w:r>
        <w:rPr>
          <w:rFonts w:hint="eastAsia" w:ascii="楷体" w:hAnsi="楷体" w:eastAsia="楷体"/>
          <w:bCs/>
          <w:kern w:val="0"/>
          <w:sz w:val="22"/>
          <w:szCs w:val="20"/>
        </w:rPr>
        <w:t>《茶叶生物化学》、《茶学研究前沿与进展》</w:t>
      </w:r>
    </w:p>
    <w:p w14:paraId="755E947D">
      <w:pPr>
        <w:snapToGrid w:val="0"/>
        <w:spacing w:before="120" w:line="360" w:lineRule="auto"/>
        <w:jc w:val="left"/>
        <w:rPr>
          <w:rFonts w:hint="eastAsia" w:ascii="黑体" w:hAnsi="黑体" w:eastAsia="黑体"/>
          <w:bCs/>
          <w:kern w:val="0"/>
          <w:sz w:val="22"/>
          <w:szCs w:val="20"/>
        </w:rPr>
      </w:pPr>
      <w:r>
        <w:rPr>
          <w:rFonts w:hint="eastAsia" w:ascii="黑体" w:hAnsi="黑体" w:eastAsia="黑体"/>
          <w:bCs/>
          <w:kern w:val="0"/>
          <w:sz w:val="22"/>
          <w:szCs w:val="20"/>
        </w:rPr>
        <w:t>主持和参与的项目</w:t>
      </w:r>
      <w:r>
        <w:rPr>
          <w:rFonts w:ascii="黑体" w:hAnsi="黑体" w:eastAsia="黑体"/>
          <w:bCs/>
          <w:kern w:val="0"/>
          <w:sz w:val="22"/>
          <w:szCs w:val="20"/>
        </w:rPr>
        <w:t>：</w:t>
      </w:r>
    </w:p>
    <w:p w14:paraId="53CBC984">
      <w:pPr>
        <w:snapToGrid w:val="0"/>
        <w:spacing w:line="400" w:lineRule="exact"/>
        <w:ind w:left="440" w:hanging="440" w:hangingChars="200"/>
        <w:jc w:val="left"/>
        <w:rPr>
          <w:rFonts w:eastAsia="楷体"/>
          <w:kern w:val="0"/>
          <w:sz w:val="22"/>
          <w:szCs w:val="22"/>
        </w:rPr>
      </w:pPr>
      <w:r>
        <w:rPr>
          <w:rFonts w:eastAsia="楷体"/>
          <w:kern w:val="0"/>
          <w:sz w:val="22"/>
          <w:szCs w:val="22"/>
        </w:rPr>
        <w:t>（1）国家自然科学基金 面上项目，32573079，FLSa启动子InDel变异调控茶树表型/非表型儿茶素差异积累的分子机制，2026.01-2029.12，50万元，主持；</w:t>
      </w:r>
    </w:p>
    <w:p w14:paraId="096BE49B">
      <w:pPr>
        <w:snapToGrid w:val="0"/>
        <w:spacing w:before="60" w:line="400" w:lineRule="exact"/>
        <w:ind w:left="440" w:hanging="440" w:hangingChars="200"/>
        <w:jc w:val="left"/>
        <w:rPr>
          <w:rFonts w:eastAsia="楷体"/>
          <w:kern w:val="0"/>
          <w:sz w:val="22"/>
          <w:szCs w:val="22"/>
        </w:rPr>
      </w:pPr>
      <w:r>
        <w:rPr>
          <w:rFonts w:eastAsia="楷体"/>
          <w:kern w:val="0"/>
          <w:sz w:val="22"/>
          <w:szCs w:val="22"/>
        </w:rPr>
        <w:t>（2）国家自然科学基金 青年项目，31902070，ANR与LAR在茶树表型儿茶素生物合成中的作用机制研究，2020.01-2022.12，24万元，主持（已结题）；</w:t>
      </w:r>
    </w:p>
    <w:p w14:paraId="62FF2104">
      <w:pPr>
        <w:snapToGrid w:val="0"/>
        <w:spacing w:before="60" w:line="400" w:lineRule="exact"/>
        <w:ind w:left="440" w:hanging="440" w:hangingChars="200"/>
        <w:jc w:val="left"/>
        <w:rPr>
          <w:rFonts w:eastAsia="楷体"/>
          <w:kern w:val="0"/>
          <w:sz w:val="22"/>
          <w:szCs w:val="22"/>
        </w:rPr>
      </w:pPr>
      <w:r>
        <w:rPr>
          <w:rFonts w:eastAsia="楷体"/>
          <w:kern w:val="0"/>
          <w:sz w:val="22"/>
          <w:szCs w:val="22"/>
        </w:rPr>
        <w:t>（3）山东省高校“青创科技支持计划”项目，2021KJ103，茶树中积累不同类型儿茶素的机制研究，2022.01-2024.12，</w:t>
      </w:r>
      <w:bookmarkStart w:id="0" w:name="OLE_LINK5"/>
      <w:r>
        <w:rPr>
          <w:rFonts w:eastAsia="楷体"/>
          <w:kern w:val="0"/>
          <w:sz w:val="22"/>
          <w:szCs w:val="22"/>
        </w:rPr>
        <w:t>50万元</w:t>
      </w:r>
      <w:bookmarkEnd w:id="0"/>
      <w:r>
        <w:rPr>
          <w:rFonts w:eastAsia="楷体"/>
          <w:kern w:val="0"/>
          <w:sz w:val="22"/>
          <w:szCs w:val="22"/>
        </w:rPr>
        <w:t>，主持（已结题）；</w:t>
      </w:r>
    </w:p>
    <w:p w14:paraId="5D583F80">
      <w:pPr>
        <w:snapToGrid w:val="0"/>
        <w:spacing w:before="60" w:line="400" w:lineRule="exact"/>
        <w:ind w:left="440" w:hanging="440" w:hangingChars="200"/>
        <w:jc w:val="left"/>
        <w:rPr>
          <w:rFonts w:eastAsia="楷体"/>
          <w:kern w:val="0"/>
          <w:sz w:val="22"/>
          <w:szCs w:val="22"/>
        </w:rPr>
      </w:pPr>
      <w:r>
        <w:rPr>
          <w:rFonts w:eastAsia="楷体"/>
          <w:kern w:val="0"/>
          <w:sz w:val="22"/>
          <w:szCs w:val="22"/>
        </w:rPr>
        <w:t>（4）山东省自然科学基金 面上项目，ZR2025MS279，WRKY40介导SA调控根皮素合成抑制茶树炭疽病发生的分子机制，2025.10-2028.9，10万元，主持；</w:t>
      </w:r>
    </w:p>
    <w:p w14:paraId="633918AF">
      <w:pPr>
        <w:snapToGrid w:val="0"/>
        <w:spacing w:before="60" w:line="400" w:lineRule="exact"/>
        <w:ind w:left="440" w:hanging="440" w:hangingChars="200"/>
        <w:jc w:val="left"/>
        <w:rPr>
          <w:rFonts w:eastAsia="楷体"/>
          <w:kern w:val="0"/>
          <w:sz w:val="22"/>
          <w:szCs w:val="22"/>
        </w:rPr>
      </w:pPr>
      <w:r>
        <w:rPr>
          <w:rFonts w:eastAsia="楷体"/>
          <w:kern w:val="0"/>
          <w:sz w:val="22"/>
          <w:szCs w:val="22"/>
        </w:rPr>
        <w:t>（5）青岛市自然科学基金 原创探索项目，25-1-1-267-zyyd-jch，FLSa启动子变异调控茶树表型/非表型儿茶素差异积累的分子机制，2025.07-2027.6，20万元，主持；</w:t>
      </w:r>
    </w:p>
    <w:p w14:paraId="5E9182C5">
      <w:pPr>
        <w:snapToGrid w:val="0"/>
        <w:spacing w:before="60" w:line="400" w:lineRule="exact"/>
        <w:ind w:left="440" w:hanging="440" w:hangingChars="200"/>
        <w:jc w:val="left"/>
        <w:rPr>
          <w:rFonts w:eastAsia="楷体"/>
          <w:kern w:val="0"/>
          <w:sz w:val="22"/>
          <w:szCs w:val="22"/>
        </w:rPr>
      </w:pPr>
      <w:r>
        <w:rPr>
          <w:rFonts w:eastAsia="楷体"/>
          <w:kern w:val="0"/>
          <w:sz w:val="22"/>
          <w:szCs w:val="22"/>
        </w:rPr>
        <w:t>（6）鲁渝科技协作项目，2024LYXZ001，秀山毛尖茶叶标准化体系建设与示范，2024.9-2025.8，25万元，参加；</w:t>
      </w:r>
    </w:p>
    <w:p w14:paraId="7D797AC9">
      <w:pPr>
        <w:snapToGrid w:val="0"/>
        <w:spacing w:before="60" w:line="400" w:lineRule="exact"/>
        <w:ind w:left="440" w:hanging="440" w:hangingChars="200"/>
        <w:jc w:val="left"/>
        <w:rPr>
          <w:rFonts w:eastAsia="楷体"/>
          <w:kern w:val="0"/>
          <w:sz w:val="22"/>
          <w:szCs w:val="22"/>
        </w:rPr>
      </w:pPr>
      <w:r>
        <w:rPr>
          <w:rFonts w:eastAsia="楷体"/>
          <w:kern w:val="0"/>
          <w:sz w:val="22"/>
          <w:szCs w:val="22"/>
        </w:rPr>
        <w:t>（7）</w:t>
      </w:r>
      <w:r>
        <w:rPr>
          <w:rFonts w:hint="eastAsia" w:eastAsia="楷体"/>
          <w:kern w:val="0"/>
          <w:sz w:val="22"/>
          <w:szCs w:val="22"/>
        </w:rPr>
        <w:t>山东省中央引导地方科技发展资金项目，YDZX2025039，枸杞叶精深加工及功能性产品开发，2025.10-2027.10，</w:t>
      </w:r>
      <w:r>
        <w:rPr>
          <w:rFonts w:eastAsia="楷体"/>
          <w:kern w:val="0"/>
          <w:sz w:val="22"/>
          <w:szCs w:val="22"/>
        </w:rPr>
        <w:t>50万元</w:t>
      </w:r>
      <w:r>
        <w:rPr>
          <w:rFonts w:hint="eastAsia" w:eastAsia="楷体"/>
          <w:kern w:val="0"/>
          <w:sz w:val="22"/>
          <w:szCs w:val="22"/>
        </w:rPr>
        <w:t>，参加。</w:t>
      </w:r>
    </w:p>
    <w:p w14:paraId="7CEEE6BE">
      <w:pPr>
        <w:snapToGrid w:val="0"/>
        <w:spacing w:before="60" w:line="360" w:lineRule="auto"/>
        <w:jc w:val="left"/>
        <w:rPr>
          <w:rFonts w:hint="eastAsia" w:ascii="黑体" w:hAnsi="黑体" w:eastAsia="黑体"/>
          <w:bCs/>
          <w:kern w:val="0"/>
          <w:sz w:val="22"/>
          <w:szCs w:val="20"/>
        </w:rPr>
      </w:pPr>
      <w:r>
        <w:rPr>
          <w:rFonts w:hint="eastAsia" w:ascii="黑体" w:hAnsi="黑体" w:eastAsia="黑体"/>
          <w:bCs/>
          <w:kern w:val="0"/>
          <w:sz w:val="22"/>
          <w:szCs w:val="20"/>
        </w:rPr>
        <w:t>代表性文章：</w:t>
      </w:r>
    </w:p>
    <w:p w14:paraId="40C03350">
      <w:pPr>
        <w:snapToGrid w:val="0"/>
        <w:spacing w:before="120" w:line="360" w:lineRule="auto"/>
        <w:ind w:left="400" w:hanging="400" w:hangingChars="200"/>
        <w:rPr>
          <w:rFonts w:eastAsia="楷体"/>
          <w:bCs/>
          <w:sz w:val="20"/>
          <w:szCs w:val="22"/>
        </w:rPr>
      </w:pPr>
      <w:r>
        <w:rPr>
          <w:rFonts w:hint="eastAsia" w:eastAsia="楷体"/>
          <w:bCs/>
          <w:sz w:val="20"/>
          <w:szCs w:val="22"/>
        </w:rPr>
        <w:t xml:space="preserve">(1)  </w:t>
      </w:r>
      <w:r>
        <w:rPr>
          <w:rFonts w:eastAsia="楷体"/>
          <w:bCs/>
          <w:sz w:val="20"/>
          <w:szCs w:val="22"/>
        </w:rPr>
        <w:t>Caiyun Li</w:t>
      </w:r>
      <w:r>
        <w:rPr>
          <w:rFonts w:hint="eastAsia" w:eastAsia="楷体"/>
          <w:bCs/>
          <w:sz w:val="20"/>
          <w:szCs w:val="22"/>
        </w:rPr>
        <w:t xml:space="preserve">, </w:t>
      </w:r>
      <w:r>
        <w:rPr>
          <w:rFonts w:eastAsia="楷体"/>
          <w:bCs/>
          <w:sz w:val="20"/>
          <w:szCs w:val="22"/>
        </w:rPr>
        <w:t>Feixue Wu</w:t>
      </w:r>
      <w:r>
        <w:rPr>
          <w:rFonts w:hint="eastAsia" w:eastAsia="楷体"/>
          <w:bCs/>
          <w:sz w:val="20"/>
          <w:szCs w:val="22"/>
        </w:rPr>
        <w:t>,</w:t>
      </w:r>
      <w:r>
        <w:rPr>
          <w:rFonts w:eastAsia="楷体"/>
          <w:bCs/>
          <w:sz w:val="20"/>
          <w:szCs w:val="22"/>
        </w:rPr>
        <w:t xml:space="preserve"> Lei Yang</w:t>
      </w:r>
      <w:r>
        <w:rPr>
          <w:rFonts w:hint="eastAsia" w:eastAsia="楷体"/>
          <w:bCs/>
          <w:sz w:val="20"/>
          <w:szCs w:val="22"/>
        </w:rPr>
        <w:t>,</w:t>
      </w:r>
      <w:r>
        <w:rPr>
          <w:rFonts w:eastAsia="楷体"/>
          <w:bCs/>
          <w:sz w:val="20"/>
          <w:szCs w:val="22"/>
        </w:rPr>
        <w:t xml:space="preserve"> Nana Liu</w:t>
      </w:r>
      <w:r>
        <w:rPr>
          <w:rFonts w:hint="eastAsia" w:eastAsia="楷体"/>
          <w:bCs/>
          <w:sz w:val="20"/>
          <w:szCs w:val="22"/>
        </w:rPr>
        <w:t>,</w:t>
      </w:r>
      <w:r>
        <w:rPr>
          <w:rFonts w:eastAsia="楷体"/>
          <w:bCs/>
          <w:sz w:val="20"/>
          <w:szCs w:val="22"/>
        </w:rPr>
        <w:t xml:space="preserve"> Xinfu Zhang</w:t>
      </w:r>
      <w:r>
        <w:rPr>
          <w:rFonts w:hint="eastAsia" w:eastAsia="楷体"/>
          <w:bCs/>
          <w:sz w:val="20"/>
          <w:szCs w:val="22"/>
        </w:rPr>
        <w:t>,</w:t>
      </w:r>
      <w:r>
        <w:rPr>
          <w:rFonts w:eastAsia="楷体"/>
          <w:bCs/>
          <w:sz w:val="20"/>
          <w:szCs w:val="22"/>
        </w:rPr>
        <w:t xml:space="preserve"> Fengfeng Qu</w:t>
      </w:r>
      <w:r>
        <w:rPr>
          <w:rFonts w:hint="eastAsia" w:eastAsia="楷体"/>
          <w:bCs/>
          <w:sz w:val="20"/>
          <w:szCs w:val="22"/>
        </w:rPr>
        <w:t>,</w:t>
      </w:r>
      <w:r>
        <w:rPr>
          <w:rFonts w:eastAsia="楷体"/>
          <w:bCs/>
          <w:sz w:val="20"/>
          <w:szCs w:val="22"/>
        </w:rPr>
        <w:t xml:space="preserve"> Liping Gao</w:t>
      </w:r>
      <w:r>
        <w:rPr>
          <w:rFonts w:hint="eastAsia" w:eastAsia="楷体"/>
          <w:bCs/>
          <w:sz w:val="20"/>
          <w:szCs w:val="22"/>
        </w:rPr>
        <w:t>,</w:t>
      </w:r>
      <w:r>
        <w:rPr>
          <w:rFonts w:eastAsia="楷体"/>
          <w:bCs/>
          <w:sz w:val="20"/>
          <w:szCs w:val="22"/>
        </w:rPr>
        <w:t xml:space="preserve"> Tao Xia</w:t>
      </w:r>
      <w:r>
        <w:rPr>
          <w:rFonts w:hint="eastAsia" w:eastAsia="楷体"/>
          <w:bCs/>
          <w:sz w:val="20"/>
          <w:szCs w:val="22"/>
        </w:rPr>
        <w:t xml:space="preserve">, </w:t>
      </w:r>
      <w:r>
        <w:rPr>
          <w:rFonts w:eastAsia="楷体"/>
          <w:bCs/>
          <w:sz w:val="20"/>
          <w:szCs w:val="22"/>
        </w:rPr>
        <w:t>Lei Zhao*</w:t>
      </w:r>
      <w:r>
        <w:rPr>
          <w:rFonts w:hint="eastAsia" w:eastAsia="楷体"/>
          <w:bCs/>
          <w:sz w:val="20"/>
          <w:szCs w:val="22"/>
        </w:rPr>
        <w:t>,</w:t>
      </w:r>
      <w:r>
        <w:rPr>
          <w:rFonts w:eastAsia="楷体"/>
          <w:bCs/>
          <w:sz w:val="20"/>
          <w:szCs w:val="22"/>
        </w:rPr>
        <w:t xml:space="preserve"> </w:t>
      </w:r>
      <w:r>
        <w:rPr>
          <w:rFonts w:eastAsia="楷体"/>
          <w:b/>
          <w:sz w:val="20"/>
          <w:szCs w:val="22"/>
        </w:rPr>
        <w:t>Peiqiang Wang</w:t>
      </w:r>
      <w:r>
        <w:rPr>
          <w:rFonts w:eastAsia="楷体"/>
          <w:bCs/>
          <w:sz w:val="20"/>
          <w:szCs w:val="22"/>
        </w:rPr>
        <w:t>*</w:t>
      </w:r>
      <w:r>
        <w:rPr>
          <w:rFonts w:hint="eastAsia" w:eastAsia="楷体"/>
          <w:bCs/>
          <w:sz w:val="20"/>
          <w:szCs w:val="22"/>
        </w:rPr>
        <w:t xml:space="preserve">. </w:t>
      </w:r>
      <w:r>
        <w:rPr>
          <w:rFonts w:eastAsia="楷体"/>
          <w:bCs/>
          <w:sz w:val="20"/>
          <w:szCs w:val="22"/>
        </w:rPr>
        <w:t>UGT74B5-mediated glucosylation at ortho hydroxyl groups of benzoic acid</w:t>
      </w:r>
      <w:r>
        <w:rPr>
          <w:rFonts w:hint="eastAsia" w:eastAsia="楷体"/>
          <w:bCs/>
          <w:sz w:val="20"/>
          <w:szCs w:val="22"/>
        </w:rPr>
        <w:t xml:space="preserve"> </w:t>
      </w:r>
      <w:r>
        <w:rPr>
          <w:rFonts w:eastAsia="楷体"/>
          <w:bCs/>
          <w:sz w:val="20"/>
          <w:szCs w:val="22"/>
        </w:rPr>
        <w:t xml:space="preserve">derivatives regulating plant immunity to anthracnose in tea plants, </w:t>
      </w:r>
      <w:bookmarkStart w:id="1" w:name="OLE_LINK1"/>
      <w:r>
        <w:rPr>
          <w:rFonts w:eastAsia="楷体"/>
          <w:b/>
          <w:i/>
          <w:iCs/>
          <w:sz w:val="20"/>
          <w:szCs w:val="22"/>
        </w:rPr>
        <w:t>Horticulture Research</w:t>
      </w:r>
      <w:bookmarkEnd w:id="1"/>
      <w:r>
        <w:rPr>
          <w:rFonts w:eastAsia="楷体"/>
          <w:bCs/>
          <w:sz w:val="20"/>
          <w:szCs w:val="22"/>
        </w:rPr>
        <w:t>, 2025,</w:t>
      </w:r>
      <w:r>
        <w:rPr>
          <w:rFonts w:hint="eastAsia" w:eastAsia="楷体"/>
          <w:bCs/>
          <w:sz w:val="20"/>
          <w:szCs w:val="22"/>
        </w:rPr>
        <w:t>12.</w:t>
      </w:r>
    </w:p>
    <w:p w14:paraId="32EA48E7">
      <w:pPr>
        <w:snapToGrid w:val="0"/>
        <w:spacing w:before="120" w:line="360" w:lineRule="auto"/>
        <w:ind w:left="400" w:hanging="400" w:hangingChars="200"/>
        <w:rPr>
          <w:rFonts w:eastAsia="楷体"/>
          <w:bCs/>
          <w:sz w:val="20"/>
          <w:szCs w:val="22"/>
        </w:rPr>
      </w:pPr>
      <w:r>
        <w:rPr>
          <w:rFonts w:eastAsia="楷体"/>
          <w:bCs/>
          <w:sz w:val="20"/>
          <w:szCs w:val="22"/>
        </w:rPr>
        <w:t xml:space="preserve">(2) </w:t>
      </w:r>
      <w:r>
        <w:rPr>
          <w:rFonts w:hint="eastAsia" w:eastAsia="楷体"/>
          <w:bCs/>
          <w:sz w:val="20"/>
          <w:szCs w:val="22"/>
        </w:rPr>
        <w:t xml:space="preserve"> </w:t>
      </w:r>
      <w:r>
        <w:rPr>
          <w:rFonts w:eastAsia="楷体"/>
          <w:b/>
          <w:sz w:val="20"/>
          <w:szCs w:val="22"/>
        </w:rPr>
        <w:t>Peiqiang Wang</w:t>
      </w:r>
      <w:r>
        <w:rPr>
          <w:rFonts w:eastAsia="楷体"/>
          <w:sz w:val="20"/>
          <w:szCs w:val="22"/>
        </w:rPr>
        <w:t>, Yajun Liu, Lingjie Zhang, Wenzhao Wang, Hua Hou, Yue Zhao</w:t>
      </w:r>
      <w:r>
        <w:rPr>
          <w:rFonts w:hint="eastAsia" w:eastAsia="楷体"/>
          <w:sz w:val="20"/>
          <w:szCs w:val="22"/>
        </w:rPr>
        <w:t xml:space="preserve">, </w:t>
      </w:r>
      <w:r>
        <w:rPr>
          <w:rFonts w:eastAsia="楷体"/>
          <w:sz w:val="20"/>
          <w:szCs w:val="22"/>
        </w:rPr>
        <w:t>Xiaolan Jiang, Jie Yu,</w:t>
      </w:r>
      <w:r>
        <w:rPr>
          <w:rFonts w:hint="eastAsia" w:eastAsia="楷体"/>
          <w:sz w:val="20"/>
          <w:szCs w:val="22"/>
        </w:rPr>
        <w:t xml:space="preserve"> </w:t>
      </w:r>
      <w:r>
        <w:rPr>
          <w:rFonts w:eastAsia="楷体"/>
          <w:sz w:val="20"/>
          <w:szCs w:val="22"/>
        </w:rPr>
        <w:t>Huarong Tan</w:t>
      </w:r>
      <w:r>
        <w:rPr>
          <w:rFonts w:hint="eastAsia" w:eastAsia="楷体"/>
          <w:sz w:val="20"/>
          <w:szCs w:val="22"/>
        </w:rPr>
        <w:t xml:space="preserve">, </w:t>
      </w:r>
      <w:r>
        <w:rPr>
          <w:rFonts w:eastAsia="楷体"/>
          <w:sz w:val="20"/>
          <w:szCs w:val="22"/>
        </w:rPr>
        <w:t>Yunsheng Wang</w:t>
      </w:r>
      <w:r>
        <w:rPr>
          <w:rFonts w:hint="eastAsia" w:eastAsia="楷体"/>
          <w:sz w:val="20"/>
          <w:szCs w:val="22"/>
        </w:rPr>
        <w:t xml:space="preserve">, De-Yu Xie, </w:t>
      </w:r>
      <w:r>
        <w:rPr>
          <w:rFonts w:eastAsia="楷体"/>
          <w:sz w:val="20"/>
          <w:szCs w:val="22"/>
        </w:rPr>
        <w:t>Liping Gao*, Tao Xia*.</w:t>
      </w:r>
      <w:r>
        <w:rPr>
          <w:rFonts w:hint="eastAsia" w:eastAsia="楷体"/>
          <w:sz w:val="20"/>
          <w:szCs w:val="22"/>
        </w:rPr>
        <w:t xml:space="preserve"> </w:t>
      </w:r>
      <w:r>
        <w:rPr>
          <w:rFonts w:eastAsia="楷体"/>
          <w:sz w:val="20"/>
          <w:szCs w:val="22"/>
        </w:rPr>
        <w:t>Functional demonstration of plant flavonoid carbocations</w:t>
      </w:r>
      <w:r>
        <w:rPr>
          <w:rFonts w:hint="eastAsia" w:eastAsia="楷体"/>
          <w:sz w:val="20"/>
          <w:szCs w:val="22"/>
        </w:rPr>
        <w:t xml:space="preserve"> </w:t>
      </w:r>
      <w:r>
        <w:rPr>
          <w:rFonts w:eastAsia="楷体"/>
          <w:sz w:val="20"/>
          <w:szCs w:val="22"/>
        </w:rPr>
        <w:t>proposed to be involved in the biosynthesis of</w:t>
      </w:r>
      <w:r>
        <w:rPr>
          <w:rFonts w:hint="eastAsia" w:eastAsia="楷体"/>
          <w:sz w:val="20"/>
          <w:szCs w:val="22"/>
        </w:rPr>
        <w:t xml:space="preserve"> </w:t>
      </w:r>
      <w:r>
        <w:rPr>
          <w:rFonts w:eastAsia="楷体"/>
          <w:sz w:val="20"/>
          <w:szCs w:val="22"/>
        </w:rPr>
        <w:t>proanthocyanidins</w:t>
      </w:r>
      <w:r>
        <w:rPr>
          <w:rFonts w:hint="eastAsia" w:eastAsia="楷体"/>
          <w:sz w:val="20"/>
          <w:szCs w:val="22"/>
        </w:rPr>
        <w:t xml:space="preserve">. </w:t>
      </w:r>
      <w:r>
        <w:rPr>
          <w:rFonts w:eastAsia="楷体"/>
          <w:b/>
          <w:i/>
          <w:sz w:val="20"/>
          <w:szCs w:val="22"/>
        </w:rPr>
        <w:t>Plant</w:t>
      </w:r>
      <w:r>
        <w:rPr>
          <w:rFonts w:hint="eastAsia" w:eastAsia="楷体"/>
          <w:b/>
          <w:i/>
          <w:sz w:val="20"/>
          <w:szCs w:val="22"/>
        </w:rPr>
        <w:t>. J</w:t>
      </w:r>
      <w:r>
        <w:rPr>
          <w:rFonts w:hint="eastAsia" w:eastAsia="楷体"/>
          <w:sz w:val="20"/>
          <w:szCs w:val="22"/>
        </w:rPr>
        <w:t xml:space="preserve">. 2020,101(1):18-36 </w:t>
      </w:r>
      <w:r>
        <w:rPr>
          <w:rFonts w:eastAsia="楷体"/>
          <w:b/>
          <w:sz w:val="20"/>
          <w:szCs w:val="22"/>
        </w:rPr>
        <w:t>(</w:t>
      </w:r>
      <w:r>
        <w:rPr>
          <w:rFonts w:hint="eastAsia" w:eastAsia="楷体"/>
          <w:b/>
          <w:sz w:val="20"/>
          <w:szCs w:val="22"/>
        </w:rPr>
        <w:t>该论文2020-2022年为</w:t>
      </w:r>
      <w:r>
        <w:rPr>
          <w:rFonts w:hint="eastAsia" w:eastAsia="楷体"/>
          <w:b/>
          <w:color w:val="0000FF"/>
          <w:sz w:val="20"/>
          <w:szCs w:val="22"/>
        </w:rPr>
        <w:t>“ESI高被引论文”</w:t>
      </w:r>
      <w:r>
        <w:rPr>
          <w:rFonts w:eastAsia="楷体"/>
          <w:b/>
          <w:sz w:val="20"/>
          <w:szCs w:val="22"/>
        </w:rPr>
        <w:t>)</w:t>
      </w:r>
    </w:p>
    <w:p w14:paraId="11D7CEAB">
      <w:pPr>
        <w:snapToGrid w:val="0"/>
        <w:spacing w:before="120" w:line="360" w:lineRule="auto"/>
        <w:ind w:left="400" w:hanging="400" w:hangingChars="200"/>
        <w:rPr>
          <w:rFonts w:eastAsia="楷体"/>
          <w:bCs/>
          <w:sz w:val="20"/>
          <w:szCs w:val="22"/>
        </w:rPr>
      </w:pPr>
      <w:r>
        <w:rPr>
          <w:rFonts w:hint="eastAsia" w:eastAsia="楷体"/>
          <w:bCs/>
          <w:sz w:val="20"/>
          <w:szCs w:val="22"/>
        </w:rPr>
        <w:t>(3)  Nana Liu, Caiyun Li, Feixue Wu, Yi Yang, Antai Yu, Ziteng Wang, Lei Zhao, Xinfu Zhang, Fengfeng Qu, Liping Gao</w:t>
      </w:r>
      <w:r>
        <w:rPr>
          <w:rFonts w:eastAsia="楷体"/>
          <w:bCs/>
          <w:sz w:val="20"/>
          <w:szCs w:val="22"/>
        </w:rPr>
        <w:t>*</w:t>
      </w:r>
      <w:r>
        <w:rPr>
          <w:rFonts w:hint="eastAsia" w:eastAsia="楷体"/>
          <w:bCs/>
          <w:sz w:val="20"/>
          <w:szCs w:val="22"/>
        </w:rPr>
        <w:t>, Tao Xia</w:t>
      </w:r>
      <w:r>
        <w:rPr>
          <w:rFonts w:eastAsia="楷体"/>
          <w:bCs/>
          <w:sz w:val="20"/>
          <w:szCs w:val="22"/>
        </w:rPr>
        <w:t>*</w:t>
      </w:r>
      <w:r>
        <w:rPr>
          <w:rFonts w:hint="eastAsia" w:eastAsia="楷体"/>
          <w:bCs/>
          <w:sz w:val="20"/>
          <w:szCs w:val="22"/>
        </w:rPr>
        <w:t xml:space="preserve">, </w:t>
      </w:r>
      <w:r>
        <w:rPr>
          <w:rFonts w:hint="eastAsia" w:eastAsia="楷体"/>
          <w:b/>
          <w:sz w:val="20"/>
          <w:szCs w:val="22"/>
        </w:rPr>
        <w:t>Peiqiang Wang</w:t>
      </w:r>
      <w:r>
        <w:rPr>
          <w:rFonts w:eastAsia="楷体"/>
          <w:bCs/>
          <w:sz w:val="20"/>
          <w:szCs w:val="22"/>
        </w:rPr>
        <w:t>*</w:t>
      </w:r>
      <w:r>
        <w:rPr>
          <w:rFonts w:hint="eastAsia" w:eastAsia="楷体"/>
          <w:bCs/>
          <w:sz w:val="20"/>
          <w:szCs w:val="22"/>
        </w:rPr>
        <w:t>.</w:t>
      </w:r>
      <w:r>
        <w:rPr>
          <w:rFonts w:hint="eastAsia" w:eastAsia="楷体"/>
          <w:b/>
          <w:sz w:val="20"/>
          <w:szCs w:val="22"/>
        </w:rPr>
        <w:t xml:space="preserve"> </w:t>
      </w:r>
      <w:r>
        <w:rPr>
          <w:rFonts w:eastAsia="楷体"/>
          <w:bCs/>
          <w:sz w:val="20"/>
          <w:szCs w:val="22"/>
        </w:rPr>
        <w:t>Genome-wide Identification and Expression Pattern Analysis of WRKY Transcription Factors in Response to Biotic and Abiotic Stresses in Tea Plants (</w:t>
      </w:r>
      <w:r>
        <w:rPr>
          <w:rFonts w:eastAsia="楷体"/>
          <w:bCs/>
          <w:i/>
          <w:iCs/>
          <w:sz w:val="20"/>
          <w:szCs w:val="22"/>
        </w:rPr>
        <w:t>Camellia sinensis</w:t>
      </w:r>
      <w:r>
        <w:rPr>
          <w:rFonts w:eastAsia="楷体"/>
          <w:bCs/>
          <w:sz w:val="20"/>
          <w:szCs w:val="22"/>
        </w:rPr>
        <w:t>)</w:t>
      </w:r>
      <w:r>
        <w:rPr>
          <w:rFonts w:hint="eastAsia" w:eastAsia="楷体"/>
          <w:bCs/>
          <w:sz w:val="20"/>
          <w:szCs w:val="22"/>
        </w:rPr>
        <w:t xml:space="preserve">, </w:t>
      </w:r>
      <w:r>
        <w:rPr>
          <w:rFonts w:eastAsia="楷体"/>
          <w:b/>
          <w:sz w:val="20"/>
          <w:szCs w:val="22"/>
        </w:rPr>
        <w:t>Plant Physiology and Biochemistry</w:t>
      </w:r>
      <w:r>
        <w:rPr>
          <w:rFonts w:hint="eastAsia" w:eastAsia="楷体"/>
          <w:bCs/>
          <w:sz w:val="20"/>
          <w:szCs w:val="22"/>
        </w:rPr>
        <w:t>. 211 (2024) 108670.</w:t>
      </w:r>
    </w:p>
    <w:p w14:paraId="365E3ECC">
      <w:pPr>
        <w:snapToGrid w:val="0"/>
        <w:spacing w:before="120" w:line="360" w:lineRule="auto"/>
        <w:ind w:left="400" w:hanging="400" w:hangingChars="200"/>
        <w:rPr>
          <w:rFonts w:eastAsia="楷体"/>
          <w:bCs/>
          <w:sz w:val="20"/>
          <w:szCs w:val="22"/>
        </w:rPr>
      </w:pPr>
      <w:r>
        <w:rPr>
          <w:rFonts w:hint="eastAsia" w:eastAsia="楷体"/>
          <w:bCs/>
          <w:sz w:val="20"/>
          <w:szCs w:val="22"/>
        </w:rPr>
        <w:t>(4)</w:t>
      </w:r>
      <w:r>
        <w:rPr>
          <w:rFonts w:hint="eastAsia" w:eastAsia="楷体"/>
          <w:b/>
          <w:sz w:val="20"/>
          <w:szCs w:val="22"/>
        </w:rPr>
        <w:t xml:space="preserve">  </w:t>
      </w:r>
      <w:r>
        <w:rPr>
          <w:rFonts w:eastAsia="楷体"/>
          <w:bCs/>
          <w:sz w:val="20"/>
          <w:szCs w:val="22"/>
        </w:rPr>
        <w:t>Nana Liu; Yueyue Wang; Kaiyuan Li; Caiyun Li; Bin Liu; Lei Zhao; Xinfu Zhang; Fengfeng</w:t>
      </w:r>
      <w:r>
        <w:rPr>
          <w:rFonts w:hint="eastAsia" w:eastAsia="楷体"/>
          <w:bCs/>
          <w:sz w:val="20"/>
          <w:szCs w:val="22"/>
        </w:rPr>
        <w:t xml:space="preserve"> </w:t>
      </w:r>
      <w:r>
        <w:rPr>
          <w:rFonts w:eastAsia="楷体"/>
          <w:bCs/>
          <w:sz w:val="20"/>
          <w:szCs w:val="22"/>
        </w:rPr>
        <w:t xml:space="preserve">Qu; Liping Gao*; Tao Xia*; </w:t>
      </w:r>
      <w:r>
        <w:rPr>
          <w:rFonts w:eastAsia="楷体"/>
          <w:b/>
          <w:sz w:val="20"/>
          <w:szCs w:val="22"/>
        </w:rPr>
        <w:t>Peiqiang Wang</w:t>
      </w:r>
      <w:r>
        <w:rPr>
          <w:rFonts w:eastAsia="楷体"/>
          <w:bCs/>
          <w:sz w:val="20"/>
          <w:szCs w:val="22"/>
        </w:rPr>
        <w:t>*; Transcriptional Analysis of Tea Plants (</w:t>
      </w:r>
      <w:r>
        <w:rPr>
          <w:rFonts w:eastAsia="楷体"/>
          <w:bCs/>
          <w:i/>
          <w:iCs/>
          <w:sz w:val="20"/>
          <w:szCs w:val="22"/>
        </w:rPr>
        <w:t>Camellia</w:t>
      </w:r>
      <w:r>
        <w:rPr>
          <w:rFonts w:hint="eastAsia" w:eastAsia="楷体"/>
          <w:bCs/>
          <w:i/>
          <w:iCs/>
          <w:sz w:val="20"/>
          <w:szCs w:val="22"/>
        </w:rPr>
        <w:t xml:space="preserve"> </w:t>
      </w:r>
      <w:r>
        <w:rPr>
          <w:rFonts w:eastAsia="楷体"/>
          <w:bCs/>
          <w:i/>
          <w:iCs/>
          <w:sz w:val="20"/>
          <w:szCs w:val="22"/>
        </w:rPr>
        <w:t>sinensis</w:t>
      </w:r>
      <w:r>
        <w:rPr>
          <w:rFonts w:eastAsia="楷体"/>
          <w:bCs/>
          <w:sz w:val="20"/>
          <w:szCs w:val="22"/>
        </w:rPr>
        <w:t xml:space="preserve">) in Response to Salicylic Acid Treatment, </w:t>
      </w:r>
      <w:r>
        <w:rPr>
          <w:rFonts w:eastAsia="楷体"/>
          <w:b/>
          <w:i/>
          <w:iCs/>
          <w:sz w:val="20"/>
          <w:szCs w:val="22"/>
        </w:rPr>
        <w:t>Journal of Agricultural and Food Chemistry</w:t>
      </w:r>
      <w:r>
        <w:rPr>
          <w:rFonts w:eastAsia="楷体"/>
          <w:bCs/>
          <w:sz w:val="20"/>
          <w:szCs w:val="22"/>
        </w:rPr>
        <w:t>. 2023, 71(5): 2377-2389</w:t>
      </w:r>
      <w:r>
        <w:rPr>
          <w:rFonts w:hint="eastAsia" w:eastAsia="楷体"/>
          <w:bCs/>
          <w:sz w:val="20"/>
          <w:szCs w:val="22"/>
        </w:rPr>
        <w:t>.</w:t>
      </w:r>
    </w:p>
    <w:p w14:paraId="0CBC3D2B">
      <w:pPr>
        <w:snapToGrid w:val="0"/>
        <w:spacing w:before="120" w:line="360" w:lineRule="auto"/>
        <w:ind w:left="400" w:hanging="400" w:hangingChars="200"/>
        <w:rPr>
          <w:rFonts w:eastAsia="楷体"/>
          <w:bCs/>
          <w:sz w:val="20"/>
          <w:szCs w:val="22"/>
        </w:rPr>
      </w:pPr>
      <w:r>
        <w:rPr>
          <w:rFonts w:hint="eastAsia" w:eastAsia="楷体"/>
          <w:bCs/>
          <w:sz w:val="20"/>
          <w:szCs w:val="22"/>
        </w:rPr>
        <w:t>(5)</w:t>
      </w:r>
      <w:r>
        <w:rPr>
          <w:rFonts w:hint="eastAsia" w:eastAsia="楷体"/>
          <w:b/>
          <w:sz w:val="20"/>
          <w:szCs w:val="22"/>
        </w:rPr>
        <w:t xml:space="preserve"> </w:t>
      </w:r>
      <w:r>
        <w:rPr>
          <w:rFonts w:hint="eastAsia" w:eastAsia="楷体"/>
          <w:bCs/>
          <w:sz w:val="20"/>
          <w:szCs w:val="22"/>
        </w:rPr>
        <w:t xml:space="preserve"> </w:t>
      </w:r>
      <w:r>
        <w:rPr>
          <w:rFonts w:eastAsia="楷体"/>
          <w:b/>
          <w:sz w:val="20"/>
          <w:szCs w:val="22"/>
        </w:rPr>
        <w:t>Peiqiang Wang</w:t>
      </w:r>
      <w:r>
        <w:rPr>
          <w:rFonts w:eastAsia="楷体"/>
          <w:bCs/>
          <w:sz w:val="20"/>
          <w:szCs w:val="22"/>
        </w:rPr>
        <w:t xml:space="preserve">, Lingjie Zhang, Lei Zhao, Xinfu Zhang, Hanghang Zhang, Yahui Han, Xiaolan Jiang, Yajun Liu, Liping Gao*, Tao Xia*. Comprehensive Analysis of Metabolic Fluxes from Leucoanthocyanins to Anthocyanins and Proanthocyanidins (PAs). </w:t>
      </w:r>
      <w:r>
        <w:rPr>
          <w:rFonts w:eastAsia="楷体"/>
          <w:b/>
          <w:i/>
          <w:iCs/>
          <w:sz w:val="20"/>
          <w:szCs w:val="22"/>
        </w:rPr>
        <w:t>Journal of Agricultural and Food Chemistry</w:t>
      </w:r>
      <w:r>
        <w:rPr>
          <w:rFonts w:eastAsia="楷体"/>
          <w:bCs/>
          <w:sz w:val="20"/>
          <w:szCs w:val="22"/>
        </w:rPr>
        <w:t>. 2020 Dec 23;6851(51) 15142-15153</w:t>
      </w:r>
      <w:r>
        <w:rPr>
          <w:rFonts w:hint="eastAsia" w:eastAsia="楷体"/>
          <w:bCs/>
          <w:sz w:val="20"/>
          <w:szCs w:val="22"/>
        </w:rPr>
        <w:t>.</w:t>
      </w:r>
    </w:p>
    <w:p w14:paraId="2C8353B8">
      <w:pPr>
        <w:snapToGrid w:val="0"/>
        <w:spacing w:before="120" w:line="360" w:lineRule="auto"/>
        <w:jc w:val="left"/>
        <w:rPr>
          <w:rFonts w:hint="eastAsia" w:ascii="黑体" w:hAnsi="黑体" w:eastAsia="黑体"/>
          <w:bCs/>
          <w:kern w:val="0"/>
          <w:sz w:val="22"/>
          <w:szCs w:val="20"/>
        </w:rPr>
      </w:pPr>
      <w:r>
        <w:rPr>
          <w:rFonts w:hint="eastAsia" w:ascii="黑体" w:hAnsi="黑体" w:eastAsia="黑体"/>
          <w:bCs/>
          <w:kern w:val="0"/>
          <w:sz w:val="22"/>
          <w:szCs w:val="20"/>
        </w:rPr>
        <w:t>获奖：</w:t>
      </w:r>
    </w:p>
    <w:p w14:paraId="452F7D0E">
      <w:pPr>
        <w:widowControl/>
        <w:adjustRightInd w:val="0"/>
        <w:snapToGrid w:val="0"/>
        <w:spacing w:line="400" w:lineRule="exact"/>
        <w:rPr>
          <w:rFonts w:eastAsia="楷体"/>
          <w:kern w:val="0"/>
          <w:sz w:val="22"/>
          <w:szCs w:val="22"/>
        </w:rPr>
      </w:pPr>
      <w:r>
        <w:rPr>
          <w:rFonts w:eastAsia="楷体"/>
          <w:kern w:val="0"/>
          <w:sz w:val="22"/>
          <w:szCs w:val="22"/>
        </w:rPr>
        <w:t>(1)</w:t>
      </w:r>
      <w:r>
        <w:rPr>
          <w:rFonts w:eastAsia="楷体"/>
          <w:kern w:val="0"/>
          <w:sz w:val="22"/>
          <w:szCs w:val="22"/>
        </w:rPr>
        <w:tab/>
      </w:r>
      <w:r>
        <w:rPr>
          <w:rFonts w:eastAsia="楷体"/>
          <w:kern w:val="0"/>
          <w:sz w:val="22"/>
          <w:szCs w:val="22"/>
        </w:rPr>
        <w:t>山东优质红茶开发关键技术与产业化，山东省科技进步奖 三等奖，第4位，2020.12；</w:t>
      </w:r>
    </w:p>
    <w:p w14:paraId="49DD594D">
      <w:pPr>
        <w:widowControl/>
        <w:adjustRightInd w:val="0"/>
        <w:snapToGrid w:val="0"/>
        <w:spacing w:line="400" w:lineRule="exact"/>
        <w:rPr>
          <w:rFonts w:eastAsia="楷体"/>
          <w:kern w:val="0"/>
          <w:sz w:val="22"/>
          <w:szCs w:val="22"/>
        </w:rPr>
      </w:pPr>
      <w:r>
        <w:rPr>
          <w:rFonts w:eastAsia="楷体"/>
          <w:kern w:val="0"/>
          <w:sz w:val="22"/>
          <w:szCs w:val="22"/>
        </w:rPr>
        <w:t>(2) 山东红茶优质生产关键技术开发与应用，山东省高等学校科学技术奖 三等奖，第3位，2019.12；</w:t>
      </w:r>
    </w:p>
    <w:p w14:paraId="4BB7C94C">
      <w:pPr>
        <w:widowControl/>
        <w:adjustRightInd w:val="0"/>
        <w:snapToGrid w:val="0"/>
        <w:spacing w:line="400" w:lineRule="exact"/>
        <w:rPr>
          <w:rFonts w:eastAsia="楷体"/>
          <w:kern w:val="0"/>
          <w:sz w:val="22"/>
          <w:szCs w:val="22"/>
        </w:rPr>
      </w:pPr>
      <w:r>
        <w:rPr>
          <w:rFonts w:eastAsia="楷体"/>
          <w:kern w:val="0"/>
          <w:sz w:val="22"/>
          <w:szCs w:val="22"/>
        </w:rPr>
        <w:t xml:space="preserve">(3) </w:t>
      </w:r>
      <w:r>
        <w:rPr>
          <w:rFonts w:eastAsia="楷体"/>
          <w:color w:val="000000"/>
          <w:sz w:val="22"/>
          <w:szCs w:val="22"/>
        </w:rPr>
        <w:t>青岛农业大学第三届</w:t>
      </w:r>
      <w:r>
        <w:rPr>
          <w:rFonts w:ascii="楷体" w:hAnsi="楷体" w:eastAsia="楷体"/>
          <w:color w:val="000000"/>
          <w:sz w:val="22"/>
          <w:szCs w:val="22"/>
        </w:rPr>
        <w:t>“最受欢迎本科任课教师”</w:t>
      </w:r>
      <w:r>
        <w:rPr>
          <w:rFonts w:eastAsia="楷体"/>
          <w:color w:val="000000"/>
          <w:sz w:val="22"/>
          <w:szCs w:val="22"/>
        </w:rPr>
        <w:t>，2020.02。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83"/>
    <w:rsid w:val="00041650"/>
    <w:rsid w:val="000A41F8"/>
    <w:rsid w:val="000B5AC9"/>
    <w:rsid w:val="000C0C9B"/>
    <w:rsid w:val="000E34EA"/>
    <w:rsid w:val="00100D70"/>
    <w:rsid w:val="001317FE"/>
    <w:rsid w:val="00187283"/>
    <w:rsid w:val="00190509"/>
    <w:rsid w:val="001C21B1"/>
    <w:rsid w:val="001C4A51"/>
    <w:rsid w:val="001E50B9"/>
    <w:rsid w:val="001E521F"/>
    <w:rsid w:val="001E7D1B"/>
    <w:rsid w:val="002213E0"/>
    <w:rsid w:val="002A2BC5"/>
    <w:rsid w:val="002E3FD5"/>
    <w:rsid w:val="00303A15"/>
    <w:rsid w:val="00304063"/>
    <w:rsid w:val="00353103"/>
    <w:rsid w:val="00360570"/>
    <w:rsid w:val="0036091E"/>
    <w:rsid w:val="0037640F"/>
    <w:rsid w:val="003919EF"/>
    <w:rsid w:val="003D2861"/>
    <w:rsid w:val="003D4470"/>
    <w:rsid w:val="003F23CD"/>
    <w:rsid w:val="003F3936"/>
    <w:rsid w:val="004073F1"/>
    <w:rsid w:val="00412436"/>
    <w:rsid w:val="0042555A"/>
    <w:rsid w:val="0043183B"/>
    <w:rsid w:val="00435C07"/>
    <w:rsid w:val="00474539"/>
    <w:rsid w:val="004F0204"/>
    <w:rsid w:val="00514AFA"/>
    <w:rsid w:val="00522CDA"/>
    <w:rsid w:val="005256C0"/>
    <w:rsid w:val="0055022E"/>
    <w:rsid w:val="005502B8"/>
    <w:rsid w:val="005650EA"/>
    <w:rsid w:val="0059311F"/>
    <w:rsid w:val="00594F59"/>
    <w:rsid w:val="005A761D"/>
    <w:rsid w:val="005B6432"/>
    <w:rsid w:val="005C390E"/>
    <w:rsid w:val="005E3506"/>
    <w:rsid w:val="005F7258"/>
    <w:rsid w:val="006112D2"/>
    <w:rsid w:val="0061678D"/>
    <w:rsid w:val="00656CDF"/>
    <w:rsid w:val="00670344"/>
    <w:rsid w:val="006B1BFC"/>
    <w:rsid w:val="006B2EE5"/>
    <w:rsid w:val="006E500B"/>
    <w:rsid w:val="006E7469"/>
    <w:rsid w:val="0070401B"/>
    <w:rsid w:val="007A3CDB"/>
    <w:rsid w:val="008278F5"/>
    <w:rsid w:val="00832EB8"/>
    <w:rsid w:val="008549A8"/>
    <w:rsid w:val="008642BB"/>
    <w:rsid w:val="008976A2"/>
    <w:rsid w:val="008A2FBF"/>
    <w:rsid w:val="008A3591"/>
    <w:rsid w:val="008A4816"/>
    <w:rsid w:val="008B0F75"/>
    <w:rsid w:val="008B3583"/>
    <w:rsid w:val="008B53D4"/>
    <w:rsid w:val="00931686"/>
    <w:rsid w:val="00934489"/>
    <w:rsid w:val="00946EDE"/>
    <w:rsid w:val="00984524"/>
    <w:rsid w:val="009C4642"/>
    <w:rsid w:val="009E0093"/>
    <w:rsid w:val="009F24A9"/>
    <w:rsid w:val="00A04CB1"/>
    <w:rsid w:val="00A10029"/>
    <w:rsid w:val="00A11A5D"/>
    <w:rsid w:val="00A3151C"/>
    <w:rsid w:val="00A8261A"/>
    <w:rsid w:val="00AA3611"/>
    <w:rsid w:val="00AC17BD"/>
    <w:rsid w:val="00AF6481"/>
    <w:rsid w:val="00B2674E"/>
    <w:rsid w:val="00B275E8"/>
    <w:rsid w:val="00B766A7"/>
    <w:rsid w:val="00B918BC"/>
    <w:rsid w:val="00B92D40"/>
    <w:rsid w:val="00BA2932"/>
    <w:rsid w:val="00BA48E3"/>
    <w:rsid w:val="00BC3646"/>
    <w:rsid w:val="00BC4903"/>
    <w:rsid w:val="00BC4FEB"/>
    <w:rsid w:val="00C1158B"/>
    <w:rsid w:val="00C15E33"/>
    <w:rsid w:val="00C47A82"/>
    <w:rsid w:val="00C67B66"/>
    <w:rsid w:val="00C850DD"/>
    <w:rsid w:val="00C85E05"/>
    <w:rsid w:val="00C877BF"/>
    <w:rsid w:val="00CA3AAD"/>
    <w:rsid w:val="00CD208C"/>
    <w:rsid w:val="00CF52FF"/>
    <w:rsid w:val="00D03EF5"/>
    <w:rsid w:val="00D15F70"/>
    <w:rsid w:val="00D473AD"/>
    <w:rsid w:val="00D51F12"/>
    <w:rsid w:val="00D6739B"/>
    <w:rsid w:val="00D77911"/>
    <w:rsid w:val="00DD5D7D"/>
    <w:rsid w:val="00DE55C9"/>
    <w:rsid w:val="00DE7F3C"/>
    <w:rsid w:val="00DF7792"/>
    <w:rsid w:val="00E20C62"/>
    <w:rsid w:val="00E47401"/>
    <w:rsid w:val="00E52CA0"/>
    <w:rsid w:val="00E8731E"/>
    <w:rsid w:val="00E9574C"/>
    <w:rsid w:val="00EA0BBE"/>
    <w:rsid w:val="00EA48C9"/>
    <w:rsid w:val="00EB1932"/>
    <w:rsid w:val="00ED6A03"/>
    <w:rsid w:val="00F11C95"/>
    <w:rsid w:val="00F25D5A"/>
    <w:rsid w:val="00F72025"/>
    <w:rsid w:val="00F7360E"/>
    <w:rsid w:val="00F76E3E"/>
    <w:rsid w:val="00F9711A"/>
    <w:rsid w:val="00FE2D18"/>
    <w:rsid w:val="222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文档结构图 字符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1209</Words>
  <Characters>2672</Characters>
  <Lines>21</Lines>
  <Paragraphs>5</Paragraphs>
  <TotalTime>111</TotalTime>
  <ScaleCrop>false</ScaleCrop>
  <LinksUpToDate>false</LinksUpToDate>
  <CharactersWithSpaces>2922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2025-10-25T10:11:00Z</dcterms:created>
  <dc:creator>WPQ</dc:creator>
  <cp:lastModifiedBy>林厌</cp:lastModifiedBy>
  <cp:lastPrinted>2020-12-03T01:18:00Z</cp:lastPrinted>
  <dcterms:modified xsi:type="dcterms:W3CDTF">2026-01-27T09:50:17Z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D3EC54469F984D75B5F38C9E3D1E5579_13</vt:lpwstr>
  </property>
</Properties>
</file>